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935" w:firstLineChars="1400"/>
        <w:jc w:val="left"/>
        <w:outlineLvl w:val="0"/>
        <w:rPr>
          <w:rFonts w:ascii="微软雅黑" w:hAnsi="微软雅黑" w:eastAsia="宋体" w:cs="宋体"/>
          <w:b/>
          <w:bCs/>
          <w:color w:val="404040"/>
          <w:kern w:val="36"/>
          <w:sz w:val="28"/>
          <w:szCs w:val="28"/>
        </w:rPr>
      </w:pPr>
      <w:r>
        <w:rPr>
          <w:rFonts w:hint="eastAsia" w:ascii="微软雅黑" w:hAnsi="微软雅黑" w:eastAsia="宋体" w:cs="宋体"/>
          <w:b/>
          <w:bCs/>
          <w:color w:val="404040"/>
          <w:kern w:val="36"/>
          <w:sz w:val="28"/>
          <w:szCs w:val="28"/>
        </w:rPr>
        <w:t>我校</w:t>
      </w:r>
      <w:r>
        <w:rPr>
          <w:rFonts w:ascii="微软雅黑" w:hAnsi="微软雅黑" w:eastAsia="宋体" w:cs="宋体"/>
          <w:b/>
          <w:bCs/>
          <w:color w:val="404040"/>
          <w:kern w:val="36"/>
          <w:sz w:val="28"/>
          <w:szCs w:val="28"/>
        </w:rPr>
        <w:t>教师在河南省第二十四届教育教学信息化交流活动中喜获佳绩</w:t>
      </w:r>
    </w:p>
    <w:p>
      <w:pPr>
        <w:widowControl/>
        <w:spacing w:before="236" w:line="236" w:lineRule="atLeast"/>
        <w:ind w:firstLine="480"/>
        <w:rPr>
          <w:rFonts w:ascii="微软雅黑" w:hAnsi="微软雅黑" w:eastAsia="宋体" w:cs="宋体"/>
          <w:color w:val="404040"/>
          <w:kern w:val="0"/>
          <w:sz w:val="28"/>
          <w:szCs w:val="28"/>
        </w:rPr>
      </w:pP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近日，河南省教育厅公布了《河南省第二十四届教育教学信息化交流活动评选结果的通知》（教电教〔2020〕294号），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</w:rPr>
        <w:t>我校教师</w:t>
      </w:r>
      <w:r>
        <w:rPr>
          <w:i w:val="0"/>
          <w:iCs w:val="0"/>
          <w:sz w:val="28"/>
          <w:szCs w:val="28"/>
        </w:rPr>
        <w:t>张欣杰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、</w:t>
      </w:r>
      <w:r>
        <w:rPr>
          <w:sz w:val="28"/>
          <w:szCs w:val="28"/>
        </w:rPr>
        <w:t>刘青青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荣培君</w:t>
      </w:r>
      <w:r>
        <w:rPr>
          <w:rFonts w:hint="eastAsia"/>
          <w:sz w:val="28"/>
          <w:szCs w:val="28"/>
          <w:lang w:val="en-US" w:eastAsia="zh-CN"/>
        </w:rPr>
        <w:t>的作品荣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获高等教育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组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微课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一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等奖，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刘欣然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的作品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荣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获高等教育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组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微课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三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等奖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eastAsia="zh-CN"/>
        </w:rPr>
        <w:t>。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李磊、韩松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的作品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荣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获高等教育组课件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一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等奖，</w:t>
      </w:r>
      <w:r>
        <w:rPr>
          <w:sz w:val="28"/>
          <w:szCs w:val="28"/>
        </w:rPr>
        <w:t>郭倩平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的作品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荣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获高等教育</w:t>
      </w:r>
      <w:r>
        <w:rPr>
          <w:rFonts w:hint="eastAsia" w:ascii="微软雅黑" w:hAnsi="微软雅黑" w:eastAsia="宋体" w:cs="宋体"/>
          <w:color w:val="404040"/>
          <w:kern w:val="0"/>
          <w:sz w:val="28"/>
          <w:szCs w:val="28"/>
          <w:lang w:val="en-US" w:eastAsia="zh-CN"/>
        </w:rPr>
        <w:t>组</w:t>
      </w:r>
      <w:r>
        <w:rPr>
          <w:rFonts w:ascii="微软雅黑" w:hAnsi="微软雅黑" w:eastAsia="宋体" w:cs="宋体"/>
          <w:color w:val="404040"/>
          <w:kern w:val="0"/>
          <w:sz w:val="28"/>
          <w:szCs w:val="28"/>
        </w:rPr>
        <w:t>课件三等奖。</w:t>
      </w:r>
      <w:bookmarkStart w:id="0" w:name="_GoBack"/>
      <w:bookmarkEnd w:id="0"/>
    </w:p>
    <w:p>
      <w:pPr>
        <w:pStyle w:val="3"/>
        <w:spacing w:before="58"/>
        <w:ind w:right="2146"/>
        <w:jc w:val="both"/>
        <w:rPr>
          <w:sz w:val="28"/>
          <w:szCs w:val="28"/>
        </w:rPr>
      </w:pPr>
    </w:p>
    <w:p>
      <w:pPr>
        <w:pStyle w:val="3"/>
        <w:spacing w:before="58"/>
        <w:ind w:left="2022" w:right="2146"/>
        <w:jc w:val="center"/>
        <w:rPr>
          <w:sz w:val="28"/>
          <w:szCs w:val="28"/>
        </w:rPr>
      </w:pPr>
      <w:r>
        <w:rPr>
          <w:sz w:val="28"/>
          <w:szCs w:val="28"/>
        </w:rPr>
        <w:t>高等教育组——微课</w:t>
      </w:r>
    </w:p>
    <w:p>
      <w:pPr>
        <w:pStyle w:val="3"/>
        <w:spacing w:before="4"/>
        <w:rPr>
          <w:sz w:val="19"/>
        </w:rPr>
      </w:pPr>
    </w:p>
    <w:tbl>
      <w:tblPr>
        <w:tblStyle w:val="6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8"/>
        <w:gridCol w:w="866"/>
        <w:gridCol w:w="5151"/>
        <w:gridCol w:w="2445"/>
        <w:gridCol w:w="2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708" w:type="dxa"/>
          </w:tcPr>
          <w:p>
            <w:pPr>
              <w:pStyle w:val="11"/>
              <w:spacing w:before="134"/>
              <w:ind w:left="435" w:right="431"/>
              <w:jc w:val="center"/>
              <w:rPr>
                <w:sz w:val="21"/>
              </w:rPr>
            </w:pPr>
            <w:r>
              <w:rPr>
                <w:sz w:val="21"/>
              </w:rPr>
              <w:t>证书编号</w:t>
            </w:r>
          </w:p>
        </w:tc>
        <w:tc>
          <w:tcPr>
            <w:tcW w:w="866" w:type="dxa"/>
          </w:tcPr>
          <w:p>
            <w:pPr>
              <w:pStyle w:val="11"/>
              <w:spacing w:before="0"/>
              <w:ind w:left="2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3"/>
                <w:w w:val="95"/>
                <w:sz w:val="21"/>
              </w:rPr>
              <w:t>获奖</w:t>
            </w:r>
          </w:p>
          <w:p>
            <w:pPr>
              <w:pStyle w:val="11"/>
              <w:spacing w:before="2" w:line="253" w:lineRule="exact"/>
              <w:ind w:left="2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3"/>
                <w:w w:val="95"/>
                <w:sz w:val="21"/>
              </w:rPr>
              <w:t>等级</w:t>
            </w:r>
          </w:p>
        </w:tc>
        <w:tc>
          <w:tcPr>
            <w:tcW w:w="5151" w:type="dxa"/>
          </w:tcPr>
          <w:p>
            <w:pPr>
              <w:pStyle w:val="11"/>
              <w:spacing w:before="134"/>
              <w:ind w:left="1964" w:right="195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作 品 名 称</w:t>
            </w:r>
          </w:p>
        </w:tc>
        <w:tc>
          <w:tcPr>
            <w:tcW w:w="2445" w:type="dxa"/>
          </w:tcPr>
          <w:p>
            <w:pPr>
              <w:pStyle w:val="11"/>
              <w:spacing w:before="134"/>
              <w:ind w:left="62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作 者 姓 名</w:t>
            </w:r>
          </w:p>
        </w:tc>
        <w:tc>
          <w:tcPr>
            <w:tcW w:w="2923" w:type="dxa"/>
          </w:tcPr>
          <w:p>
            <w:pPr>
              <w:pStyle w:val="11"/>
              <w:spacing w:before="134"/>
              <w:ind w:left="1162" w:right="11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708" w:type="dxa"/>
            <w:vAlign w:val="top"/>
          </w:tcPr>
          <w:p>
            <w:pPr>
              <w:pStyle w:val="11"/>
              <w:ind w:left="441" w:leftChars="0" w:right="431" w:rightChars="0"/>
              <w:jc w:val="center"/>
              <w:rPr>
                <w:sz w:val="21"/>
              </w:rPr>
            </w:pPr>
            <w:r>
              <w:rPr>
                <w:sz w:val="21"/>
              </w:rPr>
              <w:t>豫教〔2020〕15939</w:t>
            </w:r>
          </w:p>
        </w:tc>
        <w:tc>
          <w:tcPr>
            <w:tcW w:w="866" w:type="dxa"/>
            <w:vAlign w:val="top"/>
          </w:tcPr>
          <w:p>
            <w:pPr>
              <w:pStyle w:val="11"/>
              <w:ind w:left="96" w:leftChars="0" w:right="90" w:rightChars="0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5151" w:type="dxa"/>
            <w:vAlign w:val="top"/>
          </w:tcPr>
          <w:p>
            <w:pPr>
              <w:pStyle w:val="11"/>
              <w:ind w:left="28" w:leftChars="0"/>
              <w:rPr>
                <w:b w:val="0"/>
                <w:bCs w:val="0"/>
                <w:i w:val="0"/>
                <w:iCs w:val="0"/>
                <w:sz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</w:rPr>
              <w:t>优美的美学内涵</w:t>
            </w:r>
          </w:p>
        </w:tc>
        <w:tc>
          <w:tcPr>
            <w:tcW w:w="2445" w:type="dxa"/>
            <w:vAlign w:val="top"/>
          </w:tcPr>
          <w:p>
            <w:pPr>
              <w:pStyle w:val="11"/>
              <w:ind w:left="27" w:leftChars="0"/>
              <w:rPr>
                <w:b w:val="0"/>
                <w:bCs w:val="0"/>
                <w:i w:val="0"/>
                <w:iCs w:val="0"/>
                <w:sz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</w:rPr>
              <w:t>张欣杰</w:t>
            </w:r>
          </w:p>
        </w:tc>
        <w:tc>
          <w:tcPr>
            <w:tcW w:w="2923" w:type="dxa"/>
            <w:vAlign w:val="top"/>
          </w:tcPr>
          <w:p>
            <w:pPr>
              <w:pStyle w:val="11"/>
              <w:ind w:left="28" w:leftChars="0"/>
              <w:rPr>
                <w:sz w:val="21"/>
              </w:rPr>
            </w:pPr>
            <w:r>
              <w:rPr>
                <w:sz w:val="21"/>
              </w:rPr>
              <w:t>河南财经政法大学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708" w:type="dxa"/>
            <w:vAlign w:val="top"/>
          </w:tcPr>
          <w:p>
            <w:pPr>
              <w:pStyle w:val="11"/>
              <w:spacing w:before="136"/>
              <w:ind w:left="441" w:leftChars="0" w:right="431" w:rightChars="0"/>
              <w:jc w:val="center"/>
              <w:rPr>
                <w:sz w:val="21"/>
              </w:rPr>
            </w:pPr>
            <w:r>
              <w:rPr>
                <w:sz w:val="21"/>
              </w:rPr>
              <w:t>豫教〔2020〕15933</w:t>
            </w:r>
          </w:p>
        </w:tc>
        <w:tc>
          <w:tcPr>
            <w:tcW w:w="866" w:type="dxa"/>
            <w:vAlign w:val="top"/>
          </w:tcPr>
          <w:p>
            <w:pPr>
              <w:pStyle w:val="11"/>
              <w:spacing w:before="136"/>
              <w:ind w:left="96" w:leftChars="0" w:right="90" w:rightChars="0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5151" w:type="dxa"/>
            <w:vAlign w:val="top"/>
          </w:tcPr>
          <w:p>
            <w:pPr>
              <w:pStyle w:val="11"/>
              <w:spacing w:before="1"/>
              <w:rPr>
                <w:sz w:val="21"/>
              </w:rPr>
            </w:pPr>
            <w:r>
              <w:rPr>
                <w:spacing w:val="2"/>
                <w:sz w:val="21"/>
              </w:rPr>
              <w:t>Cultural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Differences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when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Entertaining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Guest</w:t>
            </w:r>
            <w:r>
              <w:rPr>
                <w:spacing w:val="2"/>
                <w:sz w:val="21"/>
              </w:rPr>
              <w:t>(跨</w:t>
            </w:r>
          </w:p>
          <w:p>
            <w:pPr>
              <w:pStyle w:val="11"/>
              <w:spacing w:before="2" w:line="252" w:lineRule="exact"/>
              <w:ind w:left="28" w:leftChars="0"/>
              <w:rPr>
                <w:sz w:val="21"/>
              </w:rPr>
            </w:pPr>
            <w:r>
              <w:rPr>
                <w:sz w:val="21"/>
              </w:rPr>
              <w:t>文化沟通双语课）</w:t>
            </w:r>
          </w:p>
        </w:tc>
        <w:tc>
          <w:tcPr>
            <w:tcW w:w="2445" w:type="dxa"/>
            <w:vAlign w:val="top"/>
          </w:tcPr>
          <w:p>
            <w:pPr>
              <w:pStyle w:val="11"/>
              <w:spacing w:before="136"/>
              <w:ind w:left="27" w:leftChars="0"/>
              <w:rPr>
                <w:sz w:val="21"/>
              </w:rPr>
            </w:pPr>
            <w:r>
              <w:rPr>
                <w:sz w:val="21"/>
              </w:rPr>
              <w:t>刘青青 张燕 卢国栋</w:t>
            </w:r>
          </w:p>
        </w:tc>
        <w:tc>
          <w:tcPr>
            <w:tcW w:w="2923" w:type="dxa"/>
            <w:vAlign w:val="top"/>
          </w:tcPr>
          <w:p>
            <w:pPr>
              <w:pStyle w:val="11"/>
              <w:spacing w:before="1"/>
              <w:rPr>
                <w:sz w:val="21"/>
              </w:rPr>
            </w:pPr>
            <w:r>
              <w:rPr>
                <w:sz w:val="21"/>
              </w:rPr>
              <w:t>河南财经政法大学 河南财政</w:t>
            </w:r>
          </w:p>
          <w:p>
            <w:pPr>
              <w:pStyle w:val="11"/>
              <w:spacing w:before="2" w:line="252" w:lineRule="exact"/>
              <w:ind w:left="28" w:leftChars="0"/>
              <w:rPr>
                <w:sz w:val="21"/>
              </w:rPr>
            </w:pPr>
            <w:r>
              <w:rPr>
                <w:sz w:val="21"/>
              </w:rPr>
              <w:t>金融学院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708" w:type="dxa"/>
            <w:vAlign w:val="top"/>
          </w:tcPr>
          <w:p>
            <w:pPr>
              <w:pStyle w:val="11"/>
              <w:ind w:left="436" w:leftChars="0"/>
              <w:rPr>
                <w:sz w:val="21"/>
              </w:rPr>
            </w:pPr>
            <w:r>
              <w:rPr>
                <w:sz w:val="21"/>
              </w:rPr>
              <w:t>豫教〔2020〕15945</w:t>
            </w:r>
          </w:p>
        </w:tc>
        <w:tc>
          <w:tcPr>
            <w:tcW w:w="866" w:type="dxa"/>
            <w:vAlign w:val="top"/>
          </w:tcPr>
          <w:p>
            <w:pPr>
              <w:pStyle w:val="11"/>
              <w:ind w:left="96" w:leftChars="0" w:right="90" w:rightChars="0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5151" w:type="dxa"/>
            <w:vAlign w:val="top"/>
          </w:tcPr>
          <w:p>
            <w:pPr>
              <w:pStyle w:val="11"/>
              <w:ind w:left="28" w:leftChars="0"/>
              <w:rPr>
                <w:sz w:val="21"/>
              </w:rPr>
            </w:pPr>
            <w:r>
              <w:rPr>
                <w:sz w:val="21"/>
              </w:rPr>
              <w:t>握手礼仪</w:t>
            </w:r>
          </w:p>
        </w:tc>
        <w:tc>
          <w:tcPr>
            <w:tcW w:w="2445" w:type="dxa"/>
            <w:vAlign w:val="top"/>
          </w:tcPr>
          <w:p>
            <w:pPr>
              <w:pStyle w:val="11"/>
              <w:ind w:left="27" w:leftChars="0"/>
              <w:rPr>
                <w:sz w:val="21"/>
              </w:rPr>
            </w:pPr>
            <w:r>
              <w:rPr>
                <w:sz w:val="21"/>
              </w:rPr>
              <w:t>荣培君 岳鹏 郝青青</w:t>
            </w:r>
          </w:p>
        </w:tc>
        <w:tc>
          <w:tcPr>
            <w:tcW w:w="2923" w:type="dxa"/>
            <w:vAlign w:val="top"/>
          </w:tcPr>
          <w:p>
            <w:pPr>
              <w:pStyle w:val="11"/>
              <w:ind w:left="28" w:leftChars="0"/>
              <w:rPr>
                <w:sz w:val="21"/>
              </w:rPr>
            </w:pPr>
            <w:r>
              <w:rPr>
                <w:sz w:val="21"/>
              </w:rPr>
              <w:t>河南财经政法大学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708" w:type="dxa"/>
            <w:vAlign w:val="top"/>
          </w:tcPr>
          <w:p>
            <w:pPr>
              <w:pStyle w:val="11"/>
              <w:spacing w:before="32"/>
              <w:ind w:left="436" w:leftChars="0"/>
              <w:rPr>
                <w:sz w:val="21"/>
              </w:rPr>
            </w:pPr>
            <w:r>
              <w:rPr>
                <w:sz w:val="21"/>
              </w:rPr>
              <w:t>豫教〔2020〕16154</w:t>
            </w:r>
          </w:p>
        </w:tc>
        <w:tc>
          <w:tcPr>
            <w:tcW w:w="866" w:type="dxa"/>
            <w:vAlign w:val="top"/>
          </w:tcPr>
          <w:p>
            <w:pPr>
              <w:pStyle w:val="11"/>
              <w:spacing w:before="32"/>
              <w:ind w:left="96" w:leftChars="0" w:right="90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5151" w:type="dxa"/>
            <w:vAlign w:val="top"/>
          </w:tcPr>
          <w:p>
            <w:pPr>
              <w:pStyle w:val="11"/>
              <w:spacing w:before="32"/>
              <w:ind w:left="28" w:leftChars="0"/>
              <w:rPr>
                <w:sz w:val="21"/>
              </w:rPr>
            </w:pPr>
            <w:r>
              <w:rPr>
                <w:sz w:val="21"/>
              </w:rPr>
              <w:t>经济法和民法的关系</w:t>
            </w:r>
          </w:p>
        </w:tc>
        <w:tc>
          <w:tcPr>
            <w:tcW w:w="2445" w:type="dxa"/>
            <w:vAlign w:val="top"/>
          </w:tcPr>
          <w:p>
            <w:pPr>
              <w:pStyle w:val="11"/>
              <w:spacing w:before="32"/>
              <w:ind w:left="27" w:leftChars="0"/>
              <w:rPr>
                <w:sz w:val="21"/>
              </w:rPr>
            </w:pPr>
            <w:r>
              <w:rPr>
                <w:sz w:val="21"/>
              </w:rPr>
              <w:t>刘欣然</w:t>
            </w:r>
          </w:p>
        </w:tc>
        <w:tc>
          <w:tcPr>
            <w:tcW w:w="2923" w:type="dxa"/>
            <w:vAlign w:val="top"/>
          </w:tcPr>
          <w:p>
            <w:pPr>
              <w:pStyle w:val="11"/>
              <w:spacing w:before="32"/>
              <w:ind w:left="28" w:leftChars="0"/>
              <w:rPr>
                <w:sz w:val="21"/>
              </w:rPr>
            </w:pPr>
            <w:r>
              <w:rPr>
                <w:sz w:val="21"/>
              </w:rPr>
              <w:t>河南财经政法大学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093" w:type="dxa"/>
            <w:gridSpan w:val="5"/>
          </w:tcPr>
          <w:p>
            <w:pPr>
              <w:pStyle w:val="3"/>
              <w:spacing w:before="58"/>
              <w:ind w:left="2022" w:right="2146"/>
              <w:jc w:val="center"/>
              <w:rPr>
                <w:rFonts w:hint="eastAsia" w:eastAsia="楷体"/>
                <w:lang w:val="en-US" w:eastAsia="zh-CN"/>
              </w:rPr>
            </w:pPr>
            <w:r>
              <w:t>高等教育组——</w:t>
            </w:r>
            <w:r>
              <w:rPr>
                <w:rFonts w:hint="eastAsia"/>
                <w:lang w:val="en-US" w:eastAsia="zh-CN"/>
              </w:rPr>
              <w:t>课件</w:t>
            </w:r>
          </w:p>
          <w:p>
            <w:pPr>
              <w:pStyle w:val="11"/>
              <w:spacing w:before="3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708" w:type="dxa"/>
            <w:vAlign w:val="top"/>
          </w:tcPr>
          <w:p>
            <w:pPr>
              <w:pStyle w:val="11"/>
              <w:spacing w:before="33"/>
              <w:ind w:left="441" w:leftChars="0" w:right="431" w:rightChars="0"/>
              <w:jc w:val="center"/>
              <w:rPr>
                <w:sz w:val="21"/>
              </w:rPr>
            </w:pPr>
            <w:r>
              <w:rPr>
                <w:sz w:val="21"/>
              </w:rPr>
              <w:t>豫教〔2020〕16270</w:t>
            </w:r>
          </w:p>
        </w:tc>
        <w:tc>
          <w:tcPr>
            <w:tcW w:w="866" w:type="dxa"/>
            <w:vAlign w:val="top"/>
          </w:tcPr>
          <w:p>
            <w:pPr>
              <w:pStyle w:val="11"/>
              <w:spacing w:before="33"/>
              <w:ind w:left="96" w:leftChars="0" w:right="90" w:rightChars="0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5151" w:type="dxa"/>
            <w:vAlign w:val="top"/>
          </w:tcPr>
          <w:p>
            <w:pPr>
              <w:pStyle w:val="11"/>
              <w:spacing w:before="33"/>
              <w:ind w:left="28" w:leftChars="0"/>
              <w:rPr>
                <w:sz w:val="21"/>
              </w:rPr>
            </w:pPr>
            <w:r>
              <w:rPr>
                <w:sz w:val="21"/>
              </w:rPr>
              <w:t>招贴设计中的元素设计</w:t>
            </w:r>
          </w:p>
        </w:tc>
        <w:tc>
          <w:tcPr>
            <w:tcW w:w="2445" w:type="dxa"/>
            <w:vAlign w:val="top"/>
          </w:tcPr>
          <w:p>
            <w:pPr>
              <w:pStyle w:val="11"/>
              <w:spacing w:before="33"/>
              <w:ind w:left="27" w:leftChars="0"/>
              <w:rPr>
                <w:sz w:val="21"/>
              </w:rPr>
            </w:pPr>
            <w:r>
              <w:rPr>
                <w:sz w:val="21"/>
              </w:rPr>
              <w:t>李磊</w:t>
            </w:r>
          </w:p>
        </w:tc>
        <w:tc>
          <w:tcPr>
            <w:tcW w:w="2923" w:type="dxa"/>
            <w:vAlign w:val="top"/>
          </w:tcPr>
          <w:p>
            <w:pPr>
              <w:pStyle w:val="11"/>
              <w:spacing w:before="33"/>
              <w:ind w:left="28" w:leftChars="0"/>
              <w:rPr>
                <w:sz w:val="21"/>
              </w:rPr>
            </w:pPr>
            <w:r>
              <w:rPr>
                <w:sz w:val="21"/>
              </w:rPr>
              <w:t>河南财经政法大学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708" w:type="dxa"/>
            <w:vAlign w:val="top"/>
          </w:tcPr>
          <w:p>
            <w:pPr>
              <w:pStyle w:val="11"/>
              <w:ind w:left="436" w:leftChars="0"/>
              <w:rPr>
                <w:sz w:val="21"/>
              </w:rPr>
            </w:pPr>
            <w:r>
              <w:rPr>
                <w:sz w:val="21"/>
              </w:rPr>
              <w:t>豫教〔2020〕16296</w:t>
            </w:r>
          </w:p>
        </w:tc>
        <w:tc>
          <w:tcPr>
            <w:tcW w:w="866" w:type="dxa"/>
            <w:vAlign w:val="top"/>
          </w:tcPr>
          <w:p>
            <w:pPr>
              <w:pStyle w:val="11"/>
              <w:ind w:left="96" w:leftChars="0" w:right="90" w:rightChars="0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5151" w:type="dxa"/>
            <w:vAlign w:val="top"/>
          </w:tcPr>
          <w:p>
            <w:pPr>
              <w:pStyle w:val="11"/>
              <w:ind w:left="28" w:leftChars="0"/>
              <w:rPr>
                <w:sz w:val="21"/>
              </w:rPr>
            </w:pPr>
            <w:r>
              <w:rPr>
                <w:sz w:val="21"/>
              </w:rPr>
              <w:t>微观经济学</w:t>
            </w:r>
          </w:p>
        </w:tc>
        <w:tc>
          <w:tcPr>
            <w:tcW w:w="2445" w:type="dxa"/>
            <w:vAlign w:val="top"/>
          </w:tcPr>
          <w:p>
            <w:pPr>
              <w:pStyle w:val="11"/>
              <w:ind w:left="27" w:leftChars="0"/>
              <w:rPr>
                <w:sz w:val="21"/>
              </w:rPr>
            </w:pPr>
            <w:r>
              <w:rPr>
                <w:sz w:val="21"/>
              </w:rPr>
              <w:t>韩松 霍倩佳 韩若琦</w:t>
            </w:r>
          </w:p>
        </w:tc>
        <w:tc>
          <w:tcPr>
            <w:tcW w:w="2923" w:type="dxa"/>
            <w:vAlign w:val="top"/>
          </w:tcPr>
          <w:p>
            <w:pPr>
              <w:pStyle w:val="11"/>
              <w:ind w:left="28" w:leftChars="0"/>
              <w:rPr>
                <w:sz w:val="21"/>
              </w:rPr>
            </w:pPr>
            <w:r>
              <w:rPr>
                <w:sz w:val="21"/>
              </w:rPr>
              <w:t>河南财经政法大学 郑州大学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708" w:type="dxa"/>
            <w:vAlign w:val="top"/>
          </w:tcPr>
          <w:p>
            <w:pPr>
              <w:pStyle w:val="11"/>
              <w:ind w:left="436" w:leftChars="0"/>
              <w:rPr>
                <w:sz w:val="21"/>
              </w:rPr>
            </w:pPr>
            <w:r>
              <w:rPr>
                <w:sz w:val="21"/>
              </w:rPr>
              <w:t>豫教〔2020〕16411</w:t>
            </w:r>
          </w:p>
        </w:tc>
        <w:tc>
          <w:tcPr>
            <w:tcW w:w="866" w:type="dxa"/>
            <w:vAlign w:val="top"/>
          </w:tcPr>
          <w:p>
            <w:pPr>
              <w:pStyle w:val="11"/>
              <w:ind w:left="96" w:leftChars="0" w:right="90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5151" w:type="dxa"/>
            <w:vAlign w:val="top"/>
          </w:tcPr>
          <w:p>
            <w:pPr>
              <w:pStyle w:val="11"/>
              <w:ind w:left="28" w:leftChars="0"/>
              <w:rPr>
                <w:sz w:val="21"/>
              </w:rPr>
            </w:pPr>
            <w:r>
              <w:rPr>
                <w:sz w:val="21"/>
              </w:rPr>
              <w:t>数项级数的概念</w:t>
            </w:r>
          </w:p>
        </w:tc>
        <w:tc>
          <w:tcPr>
            <w:tcW w:w="2445" w:type="dxa"/>
            <w:vAlign w:val="top"/>
          </w:tcPr>
          <w:p>
            <w:pPr>
              <w:pStyle w:val="11"/>
              <w:ind w:left="27" w:leftChars="0"/>
              <w:rPr>
                <w:sz w:val="21"/>
              </w:rPr>
            </w:pPr>
            <w:r>
              <w:rPr>
                <w:sz w:val="21"/>
              </w:rPr>
              <w:t>郭倩平</w:t>
            </w:r>
          </w:p>
        </w:tc>
        <w:tc>
          <w:tcPr>
            <w:tcW w:w="2923" w:type="dxa"/>
            <w:vAlign w:val="top"/>
          </w:tcPr>
          <w:p>
            <w:pPr>
              <w:pStyle w:val="11"/>
              <w:ind w:left="28" w:leftChars="0"/>
              <w:rPr>
                <w:sz w:val="21"/>
              </w:rPr>
            </w:pPr>
            <w:r>
              <w:rPr>
                <w:sz w:val="21"/>
              </w:rPr>
              <w:t>河南财经政法大学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708" w:type="dxa"/>
          </w:tcPr>
          <w:p>
            <w:pPr>
              <w:pStyle w:val="11"/>
              <w:ind w:left="441" w:right="431"/>
              <w:jc w:val="center"/>
              <w:rPr>
                <w:sz w:val="21"/>
              </w:rPr>
            </w:pPr>
          </w:p>
        </w:tc>
        <w:tc>
          <w:tcPr>
            <w:tcW w:w="866" w:type="dxa"/>
          </w:tcPr>
          <w:p>
            <w:pPr>
              <w:pStyle w:val="11"/>
              <w:ind w:left="96" w:right="90"/>
              <w:jc w:val="center"/>
              <w:rPr>
                <w:sz w:val="21"/>
              </w:rPr>
            </w:pPr>
          </w:p>
        </w:tc>
        <w:tc>
          <w:tcPr>
            <w:tcW w:w="5151" w:type="dxa"/>
          </w:tcPr>
          <w:p>
            <w:pPr>
              <w:pStyle w:val="11"/>
              <w:rPr>
                <w:sz w:val="21"/>
              </w:rPr>
            </w:pPr>
          </w:p>
        </w:tc>
        <w:tc>
          <w:tcPr>
            <w:tcW w:w="2445" w:type="dxa"/>
          </w:tcPr>
          <w:p>
            <w:pPr>
              <w:pStyle w:val="11"/>
              <w:ind w:left="27"/>
              <w:rPr>
                <w:sz w:val="21"/>
              </w:rPr>
            </w:pPr>
          </w:p>
        </w:tc>
        <w:tc>
          <w:tcPr>
            <w:tcW w:w="2923" w:type="dxa"/>
          </w:tcPr>
          <w:p>
            <w:pPr>
              <w:pStyle w:val="11"/>
              <w:rPr>
                <w:sz w:val="21"/>
              </w:rPr>
            </w:pPr>
          </w:p>
        </w:tc>
      </w:tr>
    </w:tbl>
    <w:p>
      <w:pPr>
        <w:spacing w:after="0"/>
        <w:rPr>
          <w:sz w:val="21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910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  <w:t>党委教师工作部（教师教学发展中心）</w:t>
      </w:r>
    </w:p>
    <w:p>
      <w:pPr>
        <w:tabs>
          <w:tab w:val="left" w:pos="910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2020年8月7日</w:t>
      </w:r>
    </w:p>
    <w:p>
      <w:pPr>
        <w:tabs>
          <w:tab w:val="left" w:pos="9109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09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09"/>
        </w:tabs>
        <w:bidi w:val="0"/>
        <w:jc w:val="left"/>
        <w:rPr>
          <w:rFonts w:hint="default"/>
          <w:lang w:val="en-US" w:eastAsia="zh-CN"/>
        </w:rPr>
        <w:sectPr>
          <w:pgSz w:w="16840" w:h="11910" w:orient="landscape"/>
          <w:pgMar w:top="1100" w:right="1280" w:bottom="1760" w:left="1220" w:header="0" w:footer="1486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346"/>
    <w:rsid w:val="00C73346"/>
    <w:rsid w:val="00D21427"/>
    <w:rsid w:val="00EF730D"/>
    <w:rsid w:val="57E03758"/>
    <w:rsid w:val="69A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30"/>
      <w:szCs w:val="30"/>
      <w:lang w:val="zh-CN" w:eastAsia="zh-CN" w:bidi="zh-C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Table Paragraph"/>
    <w:basedOn w:val="1"/>
    <w:qFormat/>
    <w:uiPriority w:val="1"/>
    <w:pPr>
      <w:spacing w:before="34"/>
      <w:ind w:left="2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362</Characters>
  <Lines>3</Lines>
  <Paragraphs>1</Paragraphs>
  <TotalTime>9</TotalTime>
  <ScaleCrop>false</ScaleCrop>
  <LinksUpToDate>false</LinksUpToDate>
  <CharactersWithSpaces>424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2020-08-07T00:42:00Z</dcterms:created>
  <dc:creator>User</dc:creator>
  <cp:lastModifiedBy>断崖下,等</cp:lastModifiedBy>
  <dcterms:modified xsi:type="dcterms:W3CDTF">2020-08-07T03:33:46Z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